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E976" w14:textId="77777777" w:rsidR="007B4445" w:rsidRPr="007B4445" w:rsidRDefault="007B4445" w:rsidP="007B4445">
      <w:pPr>
        <w:rPr>
          <w:rFonts w:ascii="Century Gothic" w:hAnsi="Century Gothic" w:cstheme="minorHAnsi"/>
          <w:b/>
          <w:color w:val="000000" w:themeColor="text1"/>
          <w:sz w:val="28"/>
          <w:szCs w:val="28"/>
          <w:u w:val="single"/>
        </w:rPr>
      </w:pPr>
      <w:r w:rsidRPr="007B4445">
        <w:rPr>
          <w:rFonts w:ascii="Century Gothic" w:hAnsi="Century Gothic" w:cstheme="minorHAnsi"/>
          <w:b/>
          <w:color w:val="000000" w:themeColor="text1"/>
          <w:sz w:val="28"/>
          <w:szCs w:val="28"/>
          <w:u w:val="single"/>
        </w:rPr>
        <w:t>TERMINOS DE REFERENCIA SOBRE LA GARANTÍA TÉCNICA:</w:t>
      </w:r>
    </w:p>
    <w:p w14:paraId="048515BC" w14:textId="77777777" w:rsidR="007B4445" w:rsidRPr="007B4445" w:rsidRDefault="007B4445" w:rsidP="007B4445">
      <w:pPr>
        <w:spacing w:after="0"/>
        <w:rPr>
          <w:rFonts w:ascii="Century Gothic" w:hAnsi="Century Gothic" w:cstheme="minorHAnsi"/>
          <w:b/>
          <w:color w:val="000000" w:themeColor="text1"/>
          <w:sz w:val="18"/>
          <w:szCs w:val="18"/>
          <w:u w:val="single"/>
        </w:rPr>
      </w:pPr>
    </w:p>
    <w:p w14:paraId="009F73D1" w14:textId="191965DA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bookmarkStart w:id="0" w:name="_Hlk69486664"/>
      <w:r w:rsidRPr="007B4445">
        <w:rPr>
          <w:rFonts w:ascii="Century Gothic" w:hAnsi="Century Gothic" w:cstheme="minorHAnsi"/>
          <w:color w:val="000000" w:themeColor="text1"/>
        </w:rPr>
        <w:t xml:space="preserve">El oferente deberá presentar carta de autorización del fabricante de UPS, donde indique que es integrador o representado autorizado de la marca, el documento debe estar firmado por el fabricante de la marca con antigüedad no mayor a 3 meses. El oferente debe poseer </w:t>
      </w:r>
      <w:r w:rsidRPr="007B4445">
        <w:rPr>
          <w:rFonts w:ascii="Century Gothic" w:hAnsi="Century Gothic" w:cstheme="minorHAnsi"/>
          <w:bCs/>
          <w:color w:val="000000" w:themeColor="text1"/>
        </w:rPr>
        <w:t>Certificación Vigente del fabricante</w:t>
      </w:r>
      <w:r>
        <w:rPr>
          <w:rFonts w:ascii="Century Gothic" w:hAnsi="Century Gothic" w:cstheme="minorHAnsi"/>
          <w:bCs/>
          <w:color w:val="000000" w:themeColor="text1"/>
        </w:rPr>
        <w:t>.</w:t>
      </w:r>
    </w:p>
    <w:p w14:paraId="03005569" w14:textId="6E92E812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 xml:space="preserve">La garantía de los UPS deberá ser igual o mayor a 2 </w:t>
      </w:r>
      <w:r w:rsidRPr="007B4445">
        <w:rPr>
          <w:rFonts w:ascii="Century Gothic" w:hAnsi="Century Gothic" w:cstheme="minorHAnsi"/>
          <w:color w:val="000000" w:themeColor="text1"/>
        </w:rPr>
        <w:t>años</w:t>
      </w:r>
      <w:r w:rsidRPr="007B4445">
        <w:rPr>
          <w:rFonts w:ascii="Century Gothic" w:hAnsi="Century Gothic" w:cstheme="minorHAnsi"/>
          <w:color w:val="000000" w:themeColor="text1"/>
        </w:rPr>
        <w:t>.</w:t>
      </w:r>
    </w:p>
    <w:bookmarkEnd w:id="0"/>
    <w:p w14:paraId="343109A7" w14:textId="27E50515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 xml:space="preserve">El fabricante de los UPS debe poseer reconocimiento probado en la industria, con más de 50 años en el mercado global de infraestructura y referencias de proyectos en república dominicana por más de 20 años. También debe contar con representación local y centro de servicios en República Dominicana con </w:t>
      </w:r>
      <w:r w:rsidRPr="007B4445">
        <w:rPr>
          <w:rFonts w:ascii="Century Gothic" w:hAnsi="Century Gothic" w:cstheme="minorHAnsi"/>
          <w:color w:val="000000" w:themeColor="text1"/>
        </w:rPr>
        <w:t>más</w:t>
      </w:r>
      <w:r w:rsidRPr="007B4445">
        <w:rPr>
          <w:rFonts w:ascii="Century Gothic" w:hAnsi="Century Gothic" w:cstheme="minorHAnsi"/>
          <w:color w:val="000000" w:themeColor="text1"/>
        </w:rPr>
        <w:t xml:space="preserve"> de 10 </w:t>
      </w:r>
      <w:r w:rsidRPr="007B4445">
        <w:rPr>
          <w:rFonts w:ascii="Century Gothic" w:hAnsi="Century Gothic" w:cstheme="minorHAnsi"/>
          <w:color w:val="000000" w:themeColor="text1"/>
        </w:rPr>
        <w:t>años</w:t>
      </w:r>
      <w:r w:rsidRPr="007B4445">
        <w:rPr>
          <w:rFonts w:ascii="Century Gothic" w:hAnsi="Century Gothic" w:cstheme="minorHAnsi"/>
          <w:color w:val="000000" w:themeColor="text1"/>
        </w:rPr>
        <w:t xml:space="preserve"> de presencia</w:t>
      </w:r>
    </w:p>
    <w:p w14:paraId="7C11205A" w14:textId="6043F89A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 xml:space="preserve">Todos los UPS deberán ser una sola marca homogénea; no se </w:t>
      </w:r>
      <w:r w:rsidRPr="007B4445">
        <w:rPr>
          <w:rFonts w:ascii="Century Gothic" w:hAnsi="Century Gothic" w:cstheme="minorHAnsi"/>
          <w:color w:val="000000" w:themeColor="text1"/>
        </w:rPr>
        <w:t>aceptarán</w:t>
      </w:r>
      <w:r w:rsidRPr="007B4445">
        <w:rPr>
          <w:rFonts w:ascii="Century Gothic" w:hAnsi="Century Gothic" w:cstheme="minorHAnsi"/>
          <w:color w:val="000000" w:themeColor="text1"/>
        </w:rPr>
        <w:t xml:space="preserve"> mezcla de marcas en la oferta.  Todos los UPS deberán tener la capacidad de ser gestionados centralmente.</w:t>
      </w:r>
    </w:p>
    <w:p w14:paraId="50739370" w14:textId="77777777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 xml:space="preserve">La instalación de los </w:t>
      </w:r>
      <w:proofErr w:type="gramStart"/>
      <w:r w:rsidRPr="007B4445">
        <w:rPr>
          <w:rFonts w:ascii="Century Gothic" w:hAnsi="Century Gothic" w:cstheme="minorHAnsi"/>
          <w:color w:val="000000" w:themeColor="text1"/>
        </w:rPr>
        <w:t>UPS,</w:t>
      </w:r>
      <w:proofErr w:type="gramEnd"/>
      <w:r w:rsidRPr="007B4445">
        <w:rPr>
          <w:rFonts w:ascii="Century Gothic" w:hAnsi="Century Gothic" w:cstheme="minorHAnsi"/>
          <w:color w:val="000000" w:themeColor="text1"/>
        </w:rPr>
        <w:t xml:space="preserve"> incluye:</w:t>
      </w:r>
    </w:p>
    <w:p w14:paraId="7CEBFF8F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Ensamble</w:t>
      </w:r>
    </w:p>
    <w:p w14:paraId="04B802EB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Instalación física</w:t>
      </w:r>
    </w:p>
    <w:p w14:paraId="2254AF7D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Configuración</w:t>
      </w:r>
    </w:p>
    <w:p w14:paraId="25DD1824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Arranque</w:t>
      </w:r>
    </w:p>
    <w:p w14:paraId="2DF3ECBA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Interconexión eléctrica (no incluye materiales eléctricos)</w:t>
      </w:r>
    </w:p>
    <w:p w14:paraId="01CD78A3" w14:textId="77777777" w:rsidR="007B4445" w:rsidRPr="007B4445" w:rsidRDefault="007B4445" w:rsidP="007B4445">
      <w:pPr>
        <w:pStyle w:val="Prrafodelista"/>
        <w:numPr>
          <w:ilvl w:val="0"/>
          <w:numId w:val="1"/>
        </w:num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Puesta en operación</w:t>
      </w:r>
    </w:p>
    <w:p w14:paraId="1BFF0A9E" w14:textId="77777777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El oferente deberá incluir en su oferta dos entrenamientos certificados para los ingenieros de SNS.</w:t>
      </w:r>
    </w:p>
    <w:p w14:paraId="1D650D96" w14:textId="77777777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</w:rPr>
        <w:t>El oferente deberá presentar 5 cartas de referencias de proyectos similares ejecutados satisfactoriamente.</w:t>
      </w:r>
    </w:p>
    <w:p w14:paraId="14D64465" w14:textId="026E5E18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  <w:r w:rsidRPr="007B4445">
        <w:rPr>
          <w:rFonts w:ascii="Century Gothic" w:hAnsi="Century Gothic" w:cstheme="minorHAnsi"/>
          <w:color w:val="000000" w:themeColor="text1"/>
          <w:highlight w:val="yellow"/>
        </w:rPr>
        <w:t xml:space="preserve">El oferente deberá presentar documentación legal donde certifique que la empresa tiene </w:t>
      </w:r>
      <w:r w:rsidRPr="007B4445">
        <w:rPr>
          <w:rFonts w:ascii="Century Gothic" w:hAnsi="Century Gothic" w:cstheme="minorHAnsi"/>
          <w:color w:val="000000" w:themeColor="text1"/>
          <w:highlight w:val="yellow"/>
        </w:rPr>
        <w:t>más</w:t>
      </w:r>
      <w:r w:rsidRPr="007B4445">
        <w:rPr>
          <w:rFonts w:ascii="Century Gothic" w:hAnsi="Century Gothic" w:cstheme="minorHAnsi"/>
          <w:color w:val="000000" w:themeColor="text1"/>
          <w:highlight w:val="yellow"/>
        </w:rPr>
        <w:t xml:space="preserve"> de 10 </w:t>
      </w:r>
      <w:r w:rsidRPr="007B4445">
        <w:rPr>
          <w:rFonts w:ascii="Century Gothic" w:hAnsi="Century Gothic" w:cstheme="minorHAnsi"/>
          <w:color w:val="000000" w:themeColor="text1"/>
          <w:highlight w:val="yellow"/>
        </w:rPr>
        <w:t>años</w:t>
      </w:r>
      <w:r w:rsidRPr="007B4445">
        <w:rPr>
          <w:rFonts w:ascii="Century Gothic" w:hAnsi="Century Gothic" w:cstheme="minorHAnsi"/>
          <w:color w:val="000000" w:themeColor="text1"/>
          <w:highlight w:val="yellow"/>
        </w:rPr>
        <w:t xml:space="preserve"> de experiencia en este tipo de proyectos.</w:t>
      </w:r>
    </w:p>
    <w:p w14:paraId="7B0A87FE" w14:textId="77777777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</w:p>
    <w:p w14:paraId="5E10090B" w14:textId="77777777" w:rsidR="007B4445" w:rsidRPr="007B4445" w:rsidRDefault="007B4445" w:rsidP="007B4445">
      <w:pPr>
        <w:jc w:val="both"/>
        <w:rPr>
          <w:rFonts w:ascii="Century Gothic" w:hAnsi="Century Gothic" w:cstheme="minorHAnsi"/>
          <w:color w:val="000000" w:themeColor="text1"/>
        </w:rPr>
      </w:pPr>
    </w:p>
    <w:p w14:paraId="4D7C5432" w14:textId="77777777" w:rsidR="00AE3FC2" w:rsidRPr="007B4445" w:rsidRDefault="00AE3FC2">
      <w:pPr>
        <w:rPr>
          <w:rFonts w:ascii="Century Gothic" w:hAnsi="Century Gothic"/>
        </w:rPr>
      </w:pPr>
    </w:p>
    <w:sectPr w:rsidR="00AE3FC2" w:rsidRPr="007B4445" w:rsidSect="00B636FE"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4939147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37C8E2" w14:textId="77777777" w:rsidR="00B81EA4" w:rsidRPr="00B81EA4" w:rsidRDefault="007B4445">
            <w:pPr>
              <w:pStyle w:val="Piedepgina"/>
              <w:jc w:val="right"/>
              <w:rPr>
                <w:sz w:val="16"/>
                <w:szCs w:val="16"/>
              </w:rPr>
            </w:pPr>
            <w:r w:rsidRPr="00B81EA4">
              <w:rPr>
                <w:sz w:val="16"/>
                <w:szCs w:val="16"/>
                <w:lang w:val="es-ES"/>
              </w:rPr>
              <w:t xml:space="preserve">Página </w:t>
            </w:r>
            <w:r w:rsidRPr="00B81EA4">
              <w:rPr>
                <w:b/>
                <w:bCs/>
                <w:sz w:val="16"/>
                <w:szCs w:val="16"/>
              </w:rPr>
              <w:fldChar w:fldCharType="begin"/>
            </w:r>
            <w:r w:rsidRPr="00B81EA4">
              <w:rPr>
                <w:b/>
                <w:bCs/>
                <w:sz w:val="16"/>
                <w:szCs w:val="16"/>
              </w:rPr>
              <w:instrText>PAGE</w:instrText>
            </w:r>
            <w:r w:rsidRPr="00B81EA4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9</w:t>
            </w:r>
            <w:r w:rsidRPr="00B81EA4">
              <w:rPr>
                <w:b/>
                <w:bCs/>
                <w:sz w:val="16"/>
                <w:szCs w:val="16"/>
              </w:rPr>
              <w:fldChar w:fldCharType="end"/>
            </w:r>
            <w:r w:rsidRPr="00B81EA4">
              <w:rPr>
                <w:sz w:val="16"/>
                <w:szCs w:val="16"/>
                <w:lang w:val="es-ES"/>
              </w:rPr>
              <w:t xml:space="preserve"> de </w:t>
            </w:r>
            <w:r w:rsidRPr="00B81EA4">
              <w:rPr>
                <w:b/>
                <w:bCs/>
                <w:sz w:val="16"/>
                <w:szCs w:val="16"/>
              </w:rPr>
              <w:fldChar w:fldCharType="begin"/>
            </w:r>
            <w:r w:rsidRPr="00B81EA4">
              <w:rPr>
                <w:b/>
                <w:bCs/>
                <w:sz w:val="16"/>
                <w:szCs w:val="16"/>
              </w:rPr>
              <w:instrText>NUMPAGES</w:instrText>
            </w:r>
            <w:r w:rsidRPr="00B81EA4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9</w:t>
            </w:r>
            <w:r w:rsidRPr="00B81EA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90388"/>
    <w:multiLevelType w:val="hybridMultilevel"/>
    <w:tmpl w:val="D682CC54"/>
    <w:lvl w:ilvl="0" w:tplc="1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713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45"/>
    <w:rsid w:val="007B4445"/>
    <w:rsid w:val="00AE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7614C6"/>
  <w15:chartTrackingRefBased/>
  <w15:docId w15:val="{84A53730-1FFE-4E82-9F06-EFDE6733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445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7B44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4445"/>
    <w:rPr>
      <w:kern w:val="0"/>
      <w14:ligatures w14:val="none"/>
    </w:rPr>
  </w:style>
  <w:style w:type="character" w:customStyle="1" w:styleId="PrrafodelistaCar">
    <w:name w:val="Párrafo de lista Car"/>
    <w:basedOn w:val="Fuentedeprrafopredeter"/>
    <w:link w:val="Prrafodelista"/>
    <w:locked/>
    <w:rsid w:val="007B4445"/>
  </w:style>
  <w:style w:type="paragraph" w:styleId="Prrafodelista">
    <w:name w:val="List Paragraph"/>
    <w:basedOn w:val="Normal"/>
    <w:link w:val="PrrafodelistaCar"/>
    <w:qFormat/>
    <w:rsid w:val="007B4445"/>
    <w:pPr>
      <w:spacing w:after="200" w:line="276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6" ma:contentTypeDescription="Crear nuevo documento." ma:contentTypeScope="" ma:versionID="0fafd81b688f84d19f5b866beb72fac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9051cae4cff82be2d9e51a2a10558baf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92A1C-EFB5-4D62-B3DF-78C32615A5A9}"/>
</file>

<file path=customXml/itemProps2.xml><?xml version="1.0" encoding="utf-8"?>
<ds:datastoreItem xmlns:ds="http://schemas.openxmlformats.org/officeDocument/2006/customXml" ds:itemID="{88C632BA-BBDA-4DAD-BAD8-135CD4938D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Pérez Acosta</dc:creator>
  <cp:keywords/>
  <dc:description/>
  <cp:lastModifiedBy>Nelson Pérez Acosta</cp:lastModifiedBy>
  <cp:revision>1</cp:revision>
  <dcterms:created xsi:type="dcterms:W3CDTF">2023-06-19T12:57:00Z</dcterms:created>
  <dcterms:modified xsi:type="dcterms:W3CDTF">2023-06-19T12:59:00Z</dcterms:modified>
</cp:coreProperties>
</file>